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widowControl/>
        <w:pBdr/>
        <w:bidi w:val="0"/>
        <w:spacing w:before="0" w:after="0"/>
        <w:ind w:left="0" w:right="0" w:hanging="0"/>
        <w:jc w:val="both"/>
        <w:rPr>
          <w:rFonts w:ascii="Arial;sans-serif" w:hAnsi="Arial;sans-serif"/>
          <w:b w:val="false"/>
          <w:i w:val="false"/>
          <w:caps w:val="false"/>
          <w:smallCaps w:val="false"/>
          <w:color w:val="444444"/>
          <w:spacing w:val="0"/>
          <w:sz w:val="24"/>
        </w:rPr>
      </w:pPr>
      <w:r>
        <w:rPr>
          <w:rFonts w:ascii="Arial;sans-serif" w:hAnsi="Arial;sans-serif"/>
          <w:b w:val="false"/>
          <w:i w:val="false"/>
          <w:caps w:val="false"/>
          <w:smallCaps w:val="false"/>
          <w:color w:val="444444"/>
          <w:spacing w:val="0"/>
          <w:sz w:val="24"/>
        </w:rPr>
        <w:t>Базовые с</w:t>
      </w:r>
      <w:r>
        <w:rPr>
          <w:rFonts w:ascii="Arial;sans-serif" w:hAnsi="Arial;sans-serif"/>
          <w:b w:val="false"/>
          <w:i w:val="false"/>
          <w:caps w:val="false"/>
          <w:smallCaps w:val="false"/>
          <w:color w:val="444444"/>
          <w:spacing w:val="0"/>
          <w:sz w:val="24"/>
        </w:rPr>
        <w:t xml:space="preserve">тавки торгового сбора </w:t>
      </w:r>
      <w:r>
        <w:rPr>
          <w:rFonts w:ascii="Arial;sans-serif" w:hAnsi="Arial;sans-serif"/>
          <w:b w:val="false"/>
          <w:i w:val="false"/>
          <w:caps w:val="false"/>
          <w:smallCaps w:val="false"/>
          <w:color w:val="444444"/>
          <w:spacing w:val="0"/>
          <w:sz w:val="24"/>
        </w:rPr>
        <w:t>в Москве без учета индексации на коэффициент-дефлятор</w:t>
      </w:r>
      <w:r>
        <w:rPr>
          <w:rFonts w:ascii="Arial;sans-serif" w:hAnsi="Arial;sans-serif"/>
          <w:b w:val="false"/>
          <w:i w:val="false"/>
          <w:caps w:val="false"/>
          <w:smallCaps w:val="false"/>
          <w:color w:val="444444"/>
          <w:spacing w:val="0"/>
          <w:sz w:val="24"/>
        </w:rPr>
        <w:t>:</w:t>
      </w:r>
    </w:p>
    <w:p>
      <w:pPr>
        <w:sectPr>
          <w:type w:val="nextPage"/>
          <w:pgSz w:w="11906" w:h="16838"/>
          <w:pgMar w:left="1134" w:right="1134" w:gutter="0" w:header="0" w:top="1134" w:footer="0" w:bottom="1134"/>
          <w:pgNumType w:fmt="decimal"/>
          <w:formProt w:val="false"/>
          <w:textDirection w:val="lrTb"/>
        </w:sectPr>
      </w:pPr>
    </w:p>
    <w:p>
      <w:pPr>
        <w:pStyle w:val="Normal"/>
        <w:bidi w:val="0"/>
        <w:spacing w:before="0" w:after="0"/>
        <w:ind w:left="0" w:right="0" w:hanging="0"/>
        <w:jc w:val="left"/>
        <w:rPr>
          <w:sz w:val="4"/>
          <w:szCs w:val="4"/>
        </w:rPr>
      </w:pPr>
      <w:r>
        <w:rPr>
          <w:sz w:val="4"/>
          <w:szCs w:val="4"/>
        </w:rPr>
      </w:r>
      <w:bookmarkStart w:id="0" w:name="P0015"/>
      <w:bookmarkStart w:id="1" w:name="P0015"/>
      <w:bookmarkEnd w:id="1"/>
    </w:p>
    <w:tbl>
      <w:tblPr>
        <w:tblW w:w="9638" w:type="dxa"/>
        <w:jc w:val="left"/>
        <w:tblInd w:w="0" w:type="dxa"/>
        <w:tblLayout w:type="fixed"/>
        <w:tblCellMar>
          <w:top w:w="0" w:type="dxa"/>
          <w:left w:w="0" w:type="dxa"/>
          <w:bottom w:w="0" w:type="dxa"/>
          <w:right w:w="0" w:type="dxa"/>
        </w:tblCellMar>
      </w:tblPr>
      <w:tblGrid>
        <w:gridCol w:w="422"/>
        <w:gridCol w:w="4440"/>
        <w:gridCol w:w="1741"/>
        <w:gridCol w:w="3035"/>
      </w:tblGrid>
      <w:tr>
        <w:trPr/>
        <w:tc>
          <w:tcPr>
            <w:tcW w:w="422" w:type="dxa"/>
            <w:tcBorders/>
            <w:vAlign w:val="center"/>
          </w:tcPr>
          <w:p>
            <w:pPr>
              <w:pStyle w:val="TableContents"/>
              <w:bidi w:val="0"/>
              <w:ind w:left="0" w:right="0" w:hanging="0"/>
              <w:jc w:val="left"/>
              <w:rPr>
                <w:sz w:val="4"/>
                <w:szCs w:val="4"/>
              </w:rPr>
            </w:pPr>
            <w:r>
              <w:rPr>
                <w:sz w:val="4"/>
                <w:szCs w:val="4"/>
              </w:rPr>
            </w:r>
          </w:p>
        </w:tc>
        <w:tc>
          <w:tcPr>
            <w:tcW w:w="4440" w:type="dxa"/>
            <w:tcBorders/>
            <w:vAlign w:val="center"/>
          </w:tcPr>
          <w:p>
            <w:pPr>
              <w:pStyle w:val="TableContents"/>
              <w:bidi w:val="0"/>
              <w:ind w:left="0" w:right="0" w:hanging="0"/>
              <w:jc w:val="left"/>
              <w:rPr>
                <w:sz w:val="4"/>
                <w:szCs w:val="4"/>
              </w:rPr>
            </w:pPr>
            <w:r>
              <w:rPr>
                <w:sz w:val="4"/>
                <w:szCs w:val="4"/>
              </w:rPr>
            </w:r>
          </w:p>
        </w:tc>
        <w:tc>
          <w:tcPr>
            <w:tcW w:w="1741" w:type="dxa"/>
            <w:tcBorders/>
            <w:vAlign w:val="center"/>
          </w:tcPr>
          <w:p>
            <w:pPr>
              <w:pStyle w:val="TableContents"/>
              <w:bidi w:val="0"/>
              <w:ind w:left="0" w:right="0" w:hanging="0"/>
              <w:jc w:val="left"/>
              <w:rPr>
                <w:sz w:val="4"/>
                <w:szCs w:val="4"/>
              </w:rPr>
            </w:pPr>
            <w:r>
              <w:rPr>
                <w:sz w:val="4"/>
                <w:szCs w:val="4"/>
              </w:rPr>
            </w:r>
          </w:p>
        </w:tc>
        <w:tc>
          <w:tcPr>
            <w:tcW w:w="3035" w:type="dxa"/>
            <w:tcBorders/>
            <w:vAlign w:val="center"/>
          </w:tcPr>
          <w:p>
            <w:pPr>
              <w:pStyle w:val="TableContents"/>
              <w:bidi w:val="0"/>
              <w:ind w:left="0" w:right="0" w:hanging="0"/>
              <w:jc w:val="left"/>
              <w:rPr>
                <w:sz w:val="4"/>
                <w:szCs w:val="4"/>
              </w:rPr>
            </w:pPr>
            <w:r>
              <w:rPr>
                <w:sz w:val="4"/>
                <w:szCs w:val="4"/>
              </w:rPr>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2" w:name="P00150000"/>
            <w:bookmarkEnd w:id="2"/>
            <w:r>
              <w:rPr>
                <w:sz w:val="24"/>
              </w:rPr>
              <w:t>N</w:t>
              <w:br/>
              <w:t>п/п</w:t>
            </w:r>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3" w:name="P00150001"/>
            <w:bookmarkEnd w:id="3"/>
            <w:r>
              <w:rPr>
                <w:sz w:val="24"/>
              </w:rPr>
              <w:t>Вид торговой деятельности</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4" w:name="P00150002"/>
            <w:bookmarkEnd w:id="4"/>
            <w:r>
              <w:rPr>
                <w:sz w:val="24"/>
              </w:rPr>
              <w:t>Физический показатель</w:t>
            </w:r>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5" w:name="P00150003"/>
            <w:bookmarkEnd w:id="5"/>
            <w:r>
              <w:rPr>
                <w:sz w:val="24"/>
              </w:rPr>
              <w:t>Ставка торгового сбора (рублей за квартал)</w:t>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6" w:name="P00150004"/>
            <w:bookmarkEnd w:id="6"/>
            <w:r>
              <w:rPr>
                <w:sz w:val="24"/>
              </w:rPr>
              <w:t>1.</w:t>
            </w:r>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7" w:name="P00150005"/>
            <w:bookmarkEnd w:id="7"/>
            <w:r>
              <w:rPr>
                <w:sz w:val="24"/>
              </w:rPr>
              <w:t>Торговля через объекты стационарной торговой сети, не имеющие торговых залов (за исключением объектов стационарной торговой сети, не имеющих торговых залов, являющихся автозаправочными станциями), в:</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8" w:name="P00150006"/>
            <w:bookmarkEnd w:id="8"/>
            <w:r>
              <w:rPr>
                <w:sz w:val="24"/>
              </w:rPr>
              <w:t>Объект осуществления торговли</w:t>
            </w:r>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9" w:name="P00150007"/>
            <w:bookmarkStart w:id="10" w:name="P00150007"/>
            <w:bookmarkEnd w:id="10"/>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11" w:name="P00150008"/>
            <w:bookmarkStart w:id="12" w:name="P00150008"/>
            <w:bookmarkEnd w:id="12"/>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13" w:name="P00150009"/>
            <w:bookmarkEnd w:id="13"/>
            <w:r>
              <w:rPr>
                <w:sz w:val="24"/>
              </w:rPr>
              <w:t>1) районах, входящих в Центральный административный округ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14" w:name="P0015000A"/>
            <w:bookmarkStart w:id="15" w:name="P0015000A"/>
            <w:bookmarkEnd w:id="15"/>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16" w:name="P0015000B"/>
            <w:bookmarkEnd w:id="16"/>
            <w:r>
              <w:rPr>
                <w:sz w:val="24"/>
              </w:rPr>
              <w:t>85698</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7" w:name="P0015000C"/>
            <w:bookmarkStart w:id="18" w:name="P0015000C"/>
            <w:bookmarkEnd w:id="18"/>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9" w:name="P0015000D"/>
            <w:bookmarkEnd w:id="19"/>
            <w:r>
              <w:rPr>
                <w:sz w:val="24"/>
              </w:rPr>
              <w:t>2) районах, входящих в Зеленоградский, Троицкий и Новомосковский административные округа города Москвы, а также в районах Молжаниновский Северного административного округа города Москвы, Северный Северо-Восточного административного округа города Москвы, Восточный, Новокосино и Косино-Ухтомский Восточного административного округа города Москвы, Некрасовка Юго-Восточного административного округа города Москвы, Северное Бутово и Южное Бутово Юго-Западного административного округа города Москвы, Солнцево и Ново-Переделкино Западного административного округа города Москвы, Митино и Куркино Северо-Западного административного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20" w:name="P0015000E"/>
            <w:bookmarkStart w:id="21" w:name="P0015000E"/>
            <w:bookmarkEnd w:id="21"/>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22" w:name="P0015000F"/>
            <w:bookmarkEnd w:id="22"/>
            <w:r>
              <w:rPr>
                <w:sz w:val="24"/>
              </w:rPr>
              <w:t>29994</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23" w:name="P00150010"/>
            <w:bookmarkStart w:id="24" w:name="P00150010"/>
            <w:bookmarkEnd w:id="24"/>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25" w:name="P00150011"/>
            <w:bookmarkEnd w:id="25"/>
            <w:r>
              <w:rPr>
                <w:sz w:val="24"/>
              </w:rPr>
              <w:t>3) районах, входящих в Северный (за исключением района Молжаниновский), Северо-Восточный (за исключением района Северный), Восточный (за исключением районов Восточный, Новокосино и Косино-Ухтомский), Юго-Восточный (за исключением района Некрасовка), Южный, Юго-Западный (за исключением районов Северное Бутово и Южное Бутово), Западный (за исключением районов Солнцево и Ново-Переделкино), Северо-Западный (за исключением районов Митино и Куркино) административные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26" w:name="P00150012"/>
            <w:bookmarkStart w:id="27" w:name="P00150012"/>
            <w:bookmarkEnd w:id="27"/>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28" w:name="P00150013"/>
            <w:bookmarkEnd w:id="28"/>
            <w:r>
              <w:rPr>
                <w:sz w:val="24"/>
              </w:rPr>
              <w:t>42849</w:t>
            </w:r>
          </w:p>
        </w:tc>
      </w:tr>
      <w:tr>
        <w:trPr/>
        <w:tc>
          <w:tcPr>
            <w:tcW w:w="9638" w:type="dxa"/>
            <w:gridSpan w:val="4"/>
            <w:tcBorders>
              <w:bottom w:val="single" w:sz="6" w:space="0" w:color="000000"/>
              <w:right w:val="single" w:sz="6" w:space="0" w:color="000000"/>
            </w:tcBorders>
            <w:tcMar>
              <w:bottom w:w="28" w:type="dxa"/>
              <w:right w:w="28" w:type="dxa"/>
            </w:tcMar>
          </w:tcPr>
          <w:p>
            <w:pPr>
              <w:pStyle w:val="TableContents"/>
              <w:pBdr/>
              <w:bidi w:val="0"/>
              <w:spacing w:before="0" w:after="0"/>
              <w:ind w:left="0" w:right="0" w:hanging="0"/>
              <w:jc w:val="left"/>
              <w:rPr/>
            </w:pPr>
            <w:bookmarkStart w:id="29" w:name="P00150014"/>
            <w:bookmarkEnd w:id="29"/>
            <w:r>
              <w:rPr>
                <w:sz w:val="24"/>
              </w:rPr>
              <w:t>(Пункт в редакции, введенной в действие с 1 января 2018 года </w:t>
            </w:r>
            <w:r>
              <w:fldChar w:fldCharType="begin"/>
            </w:r>
            <w:r>
              <w:rPr>
                <w:rStyle w:val="InternetLink"/>
                <w:sz w:val="24"/>
                <w:u w:val="single"/>
                <w:shd w:fill="auto" w:val="clear"/>
                <w:color w:val="2C4B99"/>
              </w:rPr>
              <w:instrText xml:space="preserve"> HYPERLINK "https://docs.cntd.ru/document/555855842" \l "7DG0K8"</w:instrText>
            </w:r>
            <w:r>
              <w:rPr>
                <w:rStyle w:val="InternetLink"/>
                <w:sz w:val="24"/>
                <w:u w:val="single"/>
                <w:shd w:fill="auto" w:val="clear"/>
                <w:color w:val="2C4B99"/>
              </w:rPr>
              <w:fldChar w:fldCharType="separate"/>
            </w:r>
            <w:r>
              <w:rPr>
                <w:rStyle w:val="InternetLink"/>
                <w:color w:val="2C4B99"/>
                <w:sz w:val="24"/>
                <w:u w:val="single"/>
                <w:shd w:fill="auto" w:val="clear"/>
              </w:rPr>
              <w:t>Законом города Москвы от 29 ноября 2017 года N 45</w:t>
            </w:r>
            <w:r>
              <w:rPr>
                <w:rStyle w:val="InternetLink"/>
                <w:sz w:val="24"/>
                <w:u w:val="single"/>
                <w:shd w:fill="auto" w:val="clear"/>
                <w:color w:val="2C4B99"/>
              </w:rPr>
              <w:fldChar w:fldCharType="end"/>
            </w:r>
            <w:r>
              <w:rPr>
                <w:sz w:val="24"/>
              </w:rPr>
              <w:t>; в редакции, введенной в действие с 1 января 2024 года </w:t>
            </w:r>
            <w:r>
              <w:fldChar w:fldCharType="begin"/>
            </w:r>
            <w:r>
              <w:rPr>
                <w:rStyle w:val="InternetLink"/>
                <w:sz w:val="24"/>
                <w:u w:val="single"/>
                <w:shd w:fill="auto" w:val="clear"/>
                <w:color w:val="2C4B99"/>
              </w:rPr>
              <w:instrText xml:space="preserve"> HYPERLINK "https://docs.cntd.ru/document/1304132776" \l "7DO0KB"</w:instrText>
            </w:r>
            <w:r>
              <w:rPr>
                <w:rStyle w:val="InternetLink"/>
                <w:sz w:val="24"/>
                <w:u w:val="single"/>
                <w:shd w:fill="auto" w:val="clear"/>
                <w:color w:val="2C4B99"/>
              </w:rPr>
              <w:fldChar w:fldCharType="separate"/>
            </w:r>
            <w:r>
              <w:rPr>
                <w:rStyle w:val="InternetLink"/>
                <w:color w:val="2C4B99"/>
                <w:sz w:val="24"/>
                <w:u w:val="single"/>
                <w:shd w:fill="auto" w:val="clear"/>
              </w:rPr>
              <w:t>Законом города Москвы от 22 ноября 2023 года N 34</w:t>
            </w:r>
            <w:r>
              <w:rPr>
                <w:rStyle w:val="InternetLink"/>
                <w:sz w:val="24"/>
                <w:u w:val="single"/>
                <w:shd w:fill="auto" w:val="clear"/>
                <w:color w:val="2C4B99"/>
              </w:rPr>
              <w:fldChar w:fldCharType="end"/>
            </w:r>
            <w:r>
              <w:rPr>
                <w:sz w:val="24"/>
              </w:rPr>
              <w:t>; в редакции, введенной в действие </w:t>
            </w:r>
            <w:r>
              <w:fldChar w:fldCharType="begin"/>
            </w:r>
            <w:r>
              <w:rPr>
                <w:rStyle w:val="InternetLink"/>
                <w:sz w:val="24"/>
                <w:u w:val="single"/>
                <w:shd w:fill="auto" w:val="clear"/>
                <w:color w:val="2C4B99"/>
              </w:rPr>
              <w:instrText xml:space="preserve"> HYPERLINK "https://docs.cntd.ru/document/1305902627" \l "BP80OR"</w:instrText>
            </w:r>
            <w:r>
              <w:rPr>
                <w:rStyle w:val="InternetLink"/>
                <w:sz w:val="24"/>
                <w:u w:val="single"/>
                <w:shd w:fill="auto" w:val="clear"/>
                <w:color w:val="2C4B99"/>
              </w:rPr>
              <w:fldChar w:fldCharType="separate"/>
            </w:r>
            <w:r>
              <w:rPr>
                <w:rStyle w:val="InternetLink"/>
                <w:color w:val="2C4B99"/>
                <w:sz w:val="24"/>
                <w:u w:val="single"/>
                <w:shd w:fill="auto" w:val="clear"/>
              </w:rPr>
              <w:t>Законом города Москвы от 8 мая 2024 года N 15</w:t>
            </w:r>
            <w:r>
              <w:rPr>
                <w:rStyle w:val="InternetLink"/>
                <w:sz w:val="24"/>
                <w:u w:val="single"/>
                <w:shd w:fill="auto" w:val="clear"/>
                <w:color w:val="2C4B99"/>
              </w:rPr>
              <w:fldChar w:fldCharType="end"/>
            </w:r>
            <w:r>
              <w:rPr>
                <w:sz w:val="24"/>
              </w:rPr>
              <w:t>. - См. </w:t>
            </w:r>
            <w:r>
              <w:fldChar w:fldCharType="begin"/>
            </w:r>
            <w:r>
              <w:rPr>
                <w:rStyle w:val="InternetLink"/>
                <w:sz w:val="24"/>
                <w:u w:val="single"/>
                <w:shd w:fill="auto" w:val="clear"/>
                <w:color w:val="2C4B99"/>
              </w:rPr>
              <w:instrText xml:space="preserve"> HYPERLINK "https://docs.cntd.ru/document/441883079" \l "6520IM"</w:instrText>
            </w:r>
            <w:r>
              <w:rPr>
                <w:rStyle w:val="InternetLink"/>
                <w:sz w:val="24"/>
                <w:u w:val="single"/>
                <w:shd w:fill="auto" w:val="clear"/>
                <w:color w:val="2C4B99"/>
              </w:rPr>
              <w:fldChar w:fldCharType="separate"/>
            </w:r>
            <w:r>
              <w:rPr>
                <w:rStyle w:val="InternetLink"/>
                <w:color w:val="2C4B99"/>
                <w:sz w:val="24"/>
                <w:u w:val="single"/>
                <w:shd w:fill="auto" w:val="clear"/>
              </w:rPr>
              <w:t>предыдущую редакцию</w:t>
            </w:r>
            <w:r>
              <w:rPr>
                <w:rStyle w:val="InternetLink"/>
                <w:sz w:val="24"/>
                <w:u w:val="single"/>
                <w:shd w:fill="auto" w:val="clear"/>
                <w:color w:val="2C4B99"/>
              </w:rPr>
              <w:fldChar w:fldCharType="end"/>
            </w:r>
            <w:r>
              <w:rPr>
                <w:sz w:val="24"/>
              </w:rPr>
              <w:t>)</w:t>
            </w:r>
            <w:bookmarkStart w:id="30" w:name="P00150015"/>
            <w:bookmarkEnd w:id="30"/>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31" w:name="P00150016"/>
            <w:bookmarkEnd w:id="31"/>
            <w:r>
              <w:rPr>
                <w:sz w:val="24"/>
              </w:rPr>
              <w:t>1.1.</w:t>
            </w:r>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32" w:name="P00150017"/>
            <w:bookmarkEnd w:id="32"/>
            <w:r>
              <w:rPr>
                <w:sz w:val="24"/>
              </w:rPr>
              <w:t>Торговля через объекты нестационарной торговой сети (за исключением развозной и разносной розничной торговли), расположенные в:</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33" w:name="P00150018"/>
            <w:bookmarkEnd w:id="33"/>
            <w:r>
              <w:rPr>
                <w:sz w:val="24"/>
              </w:rPr>
              <w:t>Объект осуществления торговли</w:t>
            </w:r>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34" w:name="P00150019"/>
            <w:bookmarkStart w:id="35" w:name="P00150019"/>
            <w:bookmarkEnd w:id="35"/>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36" w:name="P0015001A"/>
            <w:bookmarkStart w:id="37" w:name="P0015001A"/>
            <w:bookmarkEnd w:id="37"/>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38" w:name="P0015001B"/>
            <w:bookmarkEnd w:id="38"/>
            <w:r>
              <w:rPr>
                <w:sz w:val="24"/>
              </w:rPr>
              <w:t>1) районах, входящих в Центральный административный округ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39" w:name="P0015001C"/>
            <w:bookmarkStart w:id="40" w:name="P0015001C"/>
            <w:bookmarkEnd w:id="40"/>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41" w:name="P0015001D"/>
            <w:bookmarkEnd w:id="41"/>
            <w:r>
              <w:rPr>
                <w:sz w:val="24"/>
              </w:rPr>
              <w:t>42849</w:t>
            </w:r>
            <w:bookmarkStart w:id="42" w:name="P0015001E"/>
            <w:bookmarkEnd w:id="42"/>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43" w:name="P0015001F"/>
            <w:bookmarkStart w:id="44" w:name="P0015001F"/>
            <w:bookmarkEnd w:id="44"/>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45" w:name="P00150020"/>
            <w:bookmarkEnd w:id="45"/>
            <w:r>
              <w:rPr>
                <w:sz w:val="24"/>
              </w:rPr>
              <w:t>2) районах, входящих в Зеленоградский, Троицкий и Новомосковский административные округа города Москвы, а также в районах Молжаниновский Северного административного округа города Москвы, Северный Северо-Восточного административного округа города Москвы, Восточный, Новокосино и Косино-Ухтомский Восточного административного округа города Москвы, Некрасовка Юго-Восточного административного округа города Москвы, Северное Бутово и Южное Бутово Юго-Западного административного округа города Москвы, Солнцево и Ново-Переделкино Западного административного округа города Москвы, Митино и Куркино Северо-Западного административного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46" w:name="P00150021"/>
            <w:bookmarkStart w:id="47" w:name="P00150021"/>
            <w:bookmarkEnd w:id="47"/>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48" w:name="P00150022"/>
            <w:bookmarkEnd w:id="48"/>
            <w:r>
              <w:rPr>
                <w:sz w:val="24"/>
              </w:rPr>
              <w:t>29994</w:t>
            </w:r>
            <w:bookmarkStart w:id="49" w:name="P00150023"/>
            <w:bookmarkEnd w:id="49"/>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50" w:name="P00150024"/>
            <w:bookmarkStart w:id="51" w:name="P00150024"/>
            <w:bookmarkEnd w:id="51"/>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52" w:name="P00150025"/>
            <w:bookmarkEnd w:id="52"/>
            <w:r>
              <w:rPr>
                <w:sz w:val="24"/>
              </w:rPr>
              <w:t>3) районах, входящих в Северный (за исключением района Молжаниновский), Северо-Восточный (за исключением района Северный), Восточный (за исключением районов Восточный, Новокосино и Косино-Ухтомский), Юго-Восточный (за исключением района Некрасовка), Южный, Юго-Западный (за исключением районов Северное Бутово и Южное Бутово), Западный (за исключением районов Солнцево и Ново-Переделкино), Северо-Западный (за исключением районов Митино и Куркино) административные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53" w:name="P00150026"/>
            <w:bookmarkStart w:id="54" w:name="P00150026"/>
            <w:bookmarkEnd w:id="54"/>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55" w:name="P00150027"/>
            <w:bookmarkEnd w:id="55"/>
            <w:r>
              <w:rPr>
                <w:sz w:val="24"/>
              </w:rPr>
              <w:t>42849</w:t>
            </w:r>
            <w:bookmarkStart w:id="56" w:name="P00150028"/>
            <w:bookmarkEnd w:id="56"/>
          </w:p>
        </w:tc>
      </w:tr>
      <w:tr>
        <w:trPr/>
        <w:tc>
          <w:tcPr>
            <w:tcW w:w="9638" w:type="dxa"/>
            <w:gridSpan w:val="4"/>
            <w:tcBorders>
              <w:bottom w:val="single" w:sz="6" w:space="0" w:color="000000"/>
              <w:right w:val="single" w:sz="6" w:space="0" w:color="000000"/>
            </w:tcBorders>
            <w:tcMar>
              <w:bottom w:w="28" w:type="dxa"/>
              <w:right w:w="28" w:type="dxa"/>
            </w:tcMar>
          </w:tcPr>
          <w:p>
            <w:pPr>
              <w:pStyle w:val="TableContents"/>
              <w:pBdr/>
              <w:bidi w:val="0"/>
              <w:spacing w:before="0" w:after="0"/>
              <w:ind w:left="0" w:right="0" w:hanging="0"/>
              <w:jc w:val="left"/>
              <w:rPr>
                <w:sz w:val="24"/>
              </w:rPr>
            </w:pPr>
            <w:r>
              <w:rPr/>
            </w:r>
          </w:p>
        </w:tc>
      </w:tr>
      <w:tr>
        <w:trPr/>
        <w:tc>
          <w:tcPr>
            <w:tcW w:w="422"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57" w:name="P0015002A"/>
            <w:bookmarkEnd w:id="57"/>
            <w:r>
              <w:rPr>
                <w:sz w:val="24"/>
              </w:rPr>
              <w:t>2.</w:t>
            </w:r>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58" w:name="P0015002B"/>
            <w:bookmarkEnd w:id="58"/>
            <w:r>
              <w:rPr>
                <w:sz w:val="24"/>
              </w:rPr>
              <w:t>Развозная розничная торговля</w:t>
            </w:r>
          </w:p>
        </w:tc>
        <w:tc>
          <w:tcPr>
            <w:tcW w:w="1741"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59" w:name="P0015002C"/>
            <w:bookmarkEnd w:id="59"/>
            <w:r>
              <w:rPr>
                <w:sz w:val="24"/>
              </w:rPr>
              <w:t>Объект осуществления торговли</w:t>
            </w:r>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60" w:name="P0015002D"/>
            <w:bookmarkEnd w:id="60"/>
            <w:r>
              <w:rPr>
                <w:sz w:val="24"/>
              </w:rPr>
              <w:t>42849</w:t>
            </w:r>
          </w:p>
        </w:tc>
      </w:tr>
      <w:tr>
        <w:trPr/>
        <w:tc>
          <w:tcPr>
            <w:tcW w:w="9638" w:type="dxa"/>
            <w:gridSpan w:val="4"/>
            <w:tcBorders>
              <w:bottom w:val="single" w:sz="6" w:space="0" w:color="000000"/>
              <w:right w:val="single" w:sz="6" w:space="0" w:color="000000"/>
            </w:tcBorders>
            <w:tcMar>
              <w:bottom w:w="28" w:type="dxa"/>
              <w:right w:w="28" w:type="dxa"/>
            </w:tcMar>
          </w:tcPr>
          <w:p>
            <w:pPr>
              <w:pStyle w:val="TableContents"/>
              <w:pBdr/>
              <w:bidi w:val="0"/>
              <w:spacing w:before="0" w:after="0"/>
              <w:ind w:left="0" w:right="0" w:hanging="0"/>
              <w:jc w:val="left"/>
              <w:rPr>
                <w:sz w:val="24"/>
              </w:rPr>
            </w:pPr>
            <w:r>
              <w:rPr/>
            </w:r>
          </w:p>
        </w:tc>
      </w:tr>
      <w:tr>
        <w:trPr/>
        <w:tc>
          <w:tcPr>
            <w:tcW w:w="422"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61" w:name="P0015002F"/>
            <w:bookmarkEnd w:id="61"/>
            <w:r>
              <w:rPr>
                <w:sz w:val="24"/>
              </w:rPr>
              <w:t>2.1.</w:t>
            </w:r>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62" w:name="P00150030"/>
            <w:bookmarkEnd w:id="62"/>
            <w:r>
              <w:rPr>
                <w:sz w:val="24"/>
              </w:rPr>
              <w:t>Розничная торговля, осуществляемая с использованием торговых (вендинговых) автоматов</w:t>
            </w:r>
          </w:p>
        </w:tc>
        <w:tc>
          <w:tcPr>
            <w:tcW w:w="1741"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63" w:name="P00150031"/>
            <w:bookmarkEnd w:id="63"/>
            <w:r>
              <w:rPr>
                <w:sz w:val="24"/>
              </w:rPr>
              <w:t>Объект осуществления торговли</w:t>
            </w:r>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64" w:name="P00150032"/>
            <w:bookmarkEnd w:id="64"/>
            <w:r>
              <w:rPr>
                <w:sz w:val="24"/>
              </w:rPr>
              <w:t>5184</w:t>
            </w:r>
          </w:p>
        </w:tc>
      </w:tr>
      <w:tr>
        <w:trPr>
          <w:trHeight w:val="897" w:hRule="atLeast"/>
        </w:trPr>
        <w:tc>
          <w:tcPr>
            <w:tcW w:w="9638" w:type="dxa"/>
            <w:gridSpan w:val="4"/>
            <w:tcBorders>
              <w:bottom w:val="single" w:sz="6" w:space="0" w:color="000000"/>
              <w:right w:val="single" w:sz="6" w:space="0" w:color="000000"/>
            </w:tcBorders>
            <w:tcMar>
              <w:bottom w:w="28" w:type="dxa"/>
              <w:right w:w="28" w:type="dxa"/>
            </w:tcMar>
          </w:tcPr>
          <w:p>
            <w:pPr>
              <w:pStyle w:val="TableContents"/>
              <w:pBdr/>
              <w:bidi w:val="0"/>
              <w:spacing w:before="0" w:after="0"/>
              <w:ind w:left="0" w:right="0" w:hanging="0"/>
              <w:jc w:val="left"/>
              <w:rPr>
                <w:sz w:val="24"/>
              </w:rPr>
            </w:pPr>
            <w:r>
              <w:rPr/>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65" w:name="P00150034"/>
            <w:bookmarkEnd w:id="65"/>
            <w:r>
              <w:rPr>
                <w:sz w:val="24"/>
              </w:rPr>
              <w:t>3.</w:t>
            </w:r>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66" w:name="P00150035"/>
            <w:bookmarkEnd w:id="66"/>
            <w:r>
              <w:rPr>
                <w:sz w:val="24"/>
              </w:rPr>
              <w:t>Торговля через объекты стационарной торговой сети с торговыми залами:</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67" w:name="P00150036"/>
            <w:bookmarkStart w:id="68" w:name="P00150036"/>
            <w:bookmarkEnd w:id="68"/>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69" w:name="P00150037"/>
            <w:bookmarkStart w:id="70" w:name="P00150037"/>
            <w:bookmarkEnd w:id="70"/>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71" w:name="P00150038"/>
            <w:bookmarkStart w:id="72" w:name="P00150038"/>
            <w:bookmarkEnd w:id="72"/>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73" w:name="P00150039"/>
            <w:bookmarkEnd w:id="73"/>
            <w:r>
              <w:rPr>
                <w:sz w:val="24"/>
              </w:rPr>
              <w:t>1) до 50 кв. метров (включительно), расположенные в:</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74" w:name="P0015003A"/>
            <w:bookmarkEnd w:id="74"/>
            <w:r>
              <w:rPr>
                <w:sz w:val="24"/>
              </w:rPr>
              <w:t>Объект осуществления торговли</w:t>
            </w:r>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75" w:name="P0015003B"/>
            <w:bookmarkStart w:id="76" w:name="P0015003B"/>
            <w:bookmarkEnd w:id="76"/>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77" w:name="P0015003C"/>
            <w:bookmarkStart w:id="78" w:name="P0015003C"/>
            <w:bookmarkEnd w:id="78"/>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79" w:name="P0015003D"/>
            <w:bookmarkEnd w:id="79"/>
            <w:r>
              <w:rPr>
                <w:sz w:val="24"/>
              </w:rPr>
              <w:t>а) районах, входящих в Центральный административный округ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80" w:name="P0015003E"/>
            <w:bookmarkStart w:id="81" w:name="P0015003E"/>
            <w:bookmarkEnd w:id="81"/>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82" w:name="P0015003F"/>
            <w:bookmarkEnd w:id="82"/>
            <w:r>
              <w:rPr>
                <w:sz w:val="24"/>
              </w:rPr>
              <w:t>57132</w:t>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83" w:name="P00150040"/>
            <w:bookmarkStart w:id="84" w:name="P00150040"/>
            <w:bookmarkEnd w:id="84"/>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85" w:name="P00150041"/>
            <w:bookmarkEnd w:id="85"/>
            <w:r>
              <w:rPr>
                <w:sz w:val="24"/>
              </w:rPr>
              <w:t>б) районах, входящих в Зеленоградский, Троицкий и Новомосковский административные округа города Москвы, а также в районах Молжаниновский Северного административного округа города Москвы, Северный Северо-Восточного административного округа города Москвы, Восточный, Новокосино и Косино-Ухтомский Восточного административного округа города Москвы, Некрасовка Юго-Восточного административного округа города Москвы, Северное Бутово и Южное Бутово Юго-Западного административного округа города Москвы, Солнцево и Ново-Переделкино Западного административного округа города Москвы, Митино и Куркино Северо-Западного административного округа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86" w:name="P00150042"/>
            <w:bookmarkStart w:id="87" w:name="P00150042"/>
            <w:bookmarkEnd w:id="87"/>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88" w:name="P00150043"/>
            <w:bookmarkEnd w:id="88"/>
            <w:r>
              <w:rPr>
                <w:sz w:val="24"/>
              </w:rPr>
              <w:t>19996</w:t>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89" w:name="P00150044"/>
            <w:bookmarkStart w:id="90" w:name="P00150044"/>
            <w:bookmarkEnd w:id="90"/>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91" w:name="P00150045"/>
            <w:bookmarkEnd w:id="91"/>
            <w:r>
              <w:rPr>
                <w:sz w:val="24"/>
              </w:rPr>
              <w:t>в) районах, входящих в Северный (за исключением района Молжаниновский), Северо-Восточный (за исключением района Северный), Восточный (за исключением районов Восточный, Новокосино и Косино-Ухтомский), Юго-Восточный (за исключением района Некрасовка), Южный, Юго-Западный (за исключением районов Северное Бутово и Южное Бутово), Западный (за исключением районов Солнцево и Ново-Переделкино), Северо-Западный (за исключением районов Митино и Куркино) административные округа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92" w:name="P00150046"/>
            <w:bookmarkStart w:id="93" w:name="P00150046"/>
            <w:bookmarkEnd w:id="93"/>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94" w:name="P00150047"/>
            <w:bookmarkEnd w:id="94"/>
            <w:r>
              <w:rPr>
                <w:sz w:val="24"/>
              </w:rPr>
              <w:t>28566</w:t>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95" w:name="P00150048"/>
            <w:bookmarkStart w:id="96" w:name="P00150048"/>
            <w:bookmarkEnd w:id="96"/>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97" w:name="P00150049"/>
            <w:bookmarkEnd w:id="97"/>
            <w:r>
              <w:rPr>
                <w:sz w:val="24"/>
              </w:rPr>
              <w:t>2) свыше 50 кв. метров до 150 кв. метров (включительно), расположенные в:</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98" w:name="P0015004A"/>
            <w:bookmarkEnd w:id="98"/>
            <w:r>
              <w:rPr>
                <w:sz w:val="24"/>
              </w:rPr>
              <w:t>1 кв. метр площади торгового зала</w:t>
            </w:r>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99" w:name="P0015004B"/>
            <w:bookmarkStart w:id="100" w:name="P0015004B"/>
            <w:bookmarkEnd w:id="100"/>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101" w:name="P0015004C"/>
            <w:bookmarkStart w:id="102" w:name="P0015004C"/>
            <w:bookmarkEnd w:id="102"/>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103" w:name="P0015004D"/>
            <w:bookmarkEnd w:id="103"/>
            <w:r>
              <w:rPr>
                <w:sz w:val="24"/>
              </w:rPr>
              <w:t>а) районах, входящих в Центральный административный округ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104" w:name="P0015004E"/>
            <w:bookmarkStart w:id="105" w:name="P0015004E"/>
            <w:bookmarkEnd w:id="105"/>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106" w:name="P0015004F"/>
            <w:bookmarkEnd w:id="106"/>
            <w:r>
              <w:rPr>
                <w:sz w:val="24"/>
              </w:rPr>
              <w:t>1143 рубля за каждый кв. метр площади торгового зала, не превышающей 50 кв. метров, и 63 рубля за каждый полный (неполный) кв. метр площади торгового зала свыше 50 кв. метров</w:t>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107" w:name="P00150050"/>
            <w:bookmarkStart w:id="108" w:name="P00150050"/>
            <w:bookmarkEnd w:id="108"/>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109" w:name="P00150051"/>
            <w:bookmarkEnd w:id="109"/>
            <w:r>
              <w:rPr>
                <w:sz w:val="24"/>
              </w:rPr>
              <w:t>б) районах, входящих в Зеленоградский, Троицкий и Новомосковский административные округа города Москвы, а также в районах Молжаниновский Северного административного округа города Москвы, Северный Северо-Восточного административного округа города Москвы, Восточный, Новокосино и Косино-Ухтомский Восточного административного округа города Москвы, Некрасовка Юго-Восточного административного округа города Москвы, Северное Бутово и Южное Бутово Юго-Западного административного округа города Москвы, Солнцево и Ново-Переделкино Западного административного округа города Москвы, Митино и Куркино Северо-Западного административного округа города Москвы;</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bidi w:val="0"/>
              <w:ind w:left="0" w:right="0" w:hanging="0"/>
              <w:jc w:val="left"/>
              <w:rPr>
                <w:sz w:val="4"/>
                <w:szCs w:val="4"/>
              </w:rPr>
            </w:pPr>
            <w:r>
              <w:rPr>
                <w:sz w:val="4"/>
                <w:szCs w:val="4"/>
              </w:rPr>
            </w:r>
            <w:bookmarkStart w:id="110" w:name="P00150052"/>
            <w:bookmarkStart w:id="111" w:name="P00150052"/>
            <w:bookmarkEnd w:id="111"/>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112" w:name="P00150053"/>
            <w:bookmarkEnd w:id="112"/>
            <w:r>
              <w:rPr>
                <w:sz w:val="24"/>
              </w:rPr>
              <w:t>400 рублей за каждый кв. метр площади торгового зала, не превышающей 50 кв. метров, и 53 рубля за каждый полный (неполный) кв. метр площади торгового зала свыше 50 кв. метров</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13" w:name="P00150054"/>
            <w:bookmarkStart w:id="114" w:name="P00150054"/>
            <w:bookmarkEnd w:id="114"/>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15" w:name="P00150055"/>
            <w:bookmarkEnd w:id="115"/>
            <w:r>
              <w:rPr>
                <w:sz w:val="24"/>
              </w:rPr>
              <w:t>в) районах, входящих в Северный (за исключением района Молжаниновский), Северо-Восточный (за исключением района Северный), Восточный (за исключением районов Восточный, Новокосино и Косино-Ухтомский), Юго-Восточный (за исключением района Некрасовка), Южный, Юго-Западный (за исключением районов Северное Бутово и Южное Бутово), Западный (за исключением районов Солнцево и Ново-Переделкино), Северо-Западный (за исключением районов Митино и Куркино) административные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16" w:name="P00150056"/>
            <w:bookmarkStart w:id="117" w:name="P00150056"/>
            <w:bookmarkEnd w:id="117"/>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18" w:name="P00150057"/>
            <w:bookmarkEnd w:id="118"/>
            <w:r>
              <w:rPr>
                <w:sz w:val="24"/>
              </w:rPr>
              <w:t>571 рубль за каждый кв. метр площади торгового зала, не превышающей 50 кв. метров, и 58 рублей за каждый полный (неполный) кв. метр площади торгового зала свыше 50 кв. метров</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19" w:name="P00150058"/>
            <w:bookmarkStart w:id="120" w:name="P00150058"/>
            <w:bookmarkEnd w:id="120"/>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21" w:name="P00150059"/>
            <w:bookmarkEnd w:id="121"/>
            <w:r>
              <w:rPr>
                <w:sz w:val="24"/>
              </w:rPr>
              <w:t>3) свыше 150 кв. метров до 300 кв. метров (включительно), расположенные в:</w:t>
            </w:r>
          </w:p>
        </w:tc>
        <w:tc>
          <w:tcPr>
            <w:tcW w:w="1741"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22" w:name="P0015005A"/>
            <w:bookmarkEnd w:id="122"/>
            <w:r>
              <w:rPr>
                <w:sz w:val="24"/>
              </w:rPr>
              <w:t>1 кв. метр площади торгового зала</w:t>
            </w:r>
          </w:p>
        </w:tc>
        <w:tc>
          <w:tcPr>
            <w:tcW w:w="3035"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23" w:name="P0015005B"/>
            <w:bookmarkStart w:id="124" w:name="P0015005B"/>
            <w:bookmarkEnd w:id="124"/>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25" w:name="P0015005C"/>
            <w:bookmarkStart w:id="126" w:name="P0015005C"/>
            <w:bookmarkEnd w:id="126"/>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27" w:name="P0015005D"/>
            <w:bookmarkEnd w:id="127"/>
            <w:r>
              <w:rPr>
                <w:sz w:val="24"/>
              </w:rPr>
              <w:t>а) районах, входящих в Центральный административный округ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28" w:name="P0015005E"/>
            <w:bookmarkStart w:id="129" w:name="P0015005E"/>
            <w:bookmarkEnd w:id="129"/>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30" w:name="P0015005F"/>
            <w:bookmarkEnd w:id="130"/>
            <w:r>
              <w:rPr>
                <w:sz w:val="24"/>
              </w:rPr>
              <w:t>1143 рубля за каждый кв. метр площади торгового зала, не превышающей 50 кв. метров, 63 рубля за каждый кв. метр площади торгового зала свыше 50 кв. метров до 150 кв. метров (включительно) и 74 рубля за каждый полный (неполный) кв. метр площади торгового зала свыше 150 кв. метров</w:t>
            </w:r>
          </w:p>
          <w:p>
            <w:pPr>
              <w:pStyle w:val="TableContents"/>
              <w:pBdr/>
              <w:bidi w:val="0"/>
              <w:spacing w:before="0" w:after="0"/>
              <w:ind w:left="0" w:right="0" w:hanging="0"/>
              <w:jc w:val="left"/>
              <w:rPr/>
            </w:pPr>
            <w:bookmarkStart w:id="131" w:name="P00150060"/>
            <w:bookmarkEnd w:id="131"/>
            <w:r>
              <w:rPr/>
              <w:t>     </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32" w:name="P00150061"/>
            <w:bookmarkStart w:id="133" w:name="P00150061"/>
            <w:bookmarkEnd w:id="133"/>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34" w:name="P00150062"/>
            <w:bookmarkEnd w:id="134"/>
            <w:r>
              <w:rPr>
                <w:sz w:val="24"/>
              </w:rPr>
              <w:t>б) районах, входящих в Зеленоградский, Троицкий и Новомосковский административные округа города Москвы, а также в районах Молжаниновский Северного административного округа города Москвы, Северный Северо-Восточного административного округа города Москвы, Восточный, Новокосино и Косино-Ухтомский Восточного административного округа города Москвы, Некрасовка Юго-Восточного административного округа города Москвы, Северное Бутово и Южное Бутово Юго-Западного административного округа города Москвы, Солнцево и Ново-Переделкино Западного административного округа города Москвы, Митино и Куркино Северо-Западного административного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35" w:name="P00150063"/>
            <w:bookmarkStart w:id="136" w:name="P00150063"/>
            <w:bookmarkEnd w:id="136"/>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37" w:name="P00150064"/>
            <w:bookmarkEnd w:id="137"/>
            <w:r>
              <w:rPr>
                <w:sz w:val="24"/>
              </w:rPr>
              <w:t>400 рублей за каждый кв. метр площади торгового зала, не превышающей 50 кв. метров, 53 рубля за каждый кв. метр площади торгового зала свыше 50 кв. метров до 150 кв. метров (включительно) и 63 рубля за каждый полный (неполный) кв. метр площади торгового зала свыше 150 кв. метров</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38" w:name="P00150065"/>
            <w:bookmarkStart w:id="139" w:name="P00150065"/>
            <w:bookmarkEnd w:id="139"/>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40" w:name="P00150066"/>
            <w:bookmarkEnd w:id="140"/>
            <w:r>
              <w:rPr>
                <w:sz w:val="24"/>
              </w:rPr>
              <w:t>в) районах, входящих в Северный (за исключением района Молжаниновский), Северо-Восточный (за исключением района Северный), Восточный (за исключением районов Восточный, Новокосино и Косино-Ухтомский), Юго-Восточный (за исключением района Некрасовка), Южный, Юго-Западный (за исключением районов Северное Бутово и Южное Бутово), Западный (за исключением районов Солнцево и Ново-Переделкино), Северо-Западный (за исключением районов Митино и Куркино) административные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41" w:name="P00150067"/>
            <w:bookmarkStart w:id="142" w:name="P00150067"/>
            <w:bookmarkEnd w:id="142"/>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43" w:name="P00150068"/>
            <w:bookmarkEnd w:id="143"/>
            <w:r>
              <w:rPr>
                <w:sz w:val="24"/>
              </w:rPr>
              <w:t>571 рубль за каждый кв. метр площади торгового зала, не превышающей 50 кв. метров, 58 рублей за каждый кв. метр площади торгового зала свыше 50 кв. метров до 150 кв. метров (включительно) и 69 рублей за каждый полный (неполный) кв. метр площади торгового зала свыше 150 кв. метров</w:t>
            </w:r>
            <w:bookmarkStart w:id="144" w:name="P00150069"/>
            <w:bookmarkEnd w:id="144"/>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45" w:name="P0015006A"/>
            <w:bookmarkStart w:id="146" w:name="P0015006A"/>
            <w:bookmarkEnd w:id="146"/>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47" w:name="P0015006B"/>
            <w:bookmarkEnd w:id="147"/>
            <w:r>
              <w:rPr>
                <w:sz w:val="24"/>
              </w:rPr>
              <w:t>4) свыше 300 кв. метров, расположенные в:</w:t>
            </w:r>
          </w:p>
        </w:tc>
        <w:tc>
          <w:tcPr>
            <w:tcW w:w="1741"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48" w:name="P0015006C"/>
            <w:bookmarkEnd w:id="148"/>
            <w:r>
              <w:rPr>
                <w:sz w:val="24"/>
              </w:rPr>
              <w:t>1 кв. метр площади торгового зала</w:t>
            </w:r>
          </w:p>
        </w:tc>
        <w:tc>
          <w:tcPr>
            <w:tcW w:w="3035"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49" w:name="P0015006D"/>
            <w:bookmarkStart w:id="150" w:name="P0015006D"/>
            <w:bookmarkEnd w:id="150"/>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51" w:name="P0015006E"/>
            <w:bookmarkStart w:id="152" w:name="P0015006E"/>
            <w:bookmarkEnd w:id="152"/>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53" w:name="P0015006F"/>
            <w:bookmarkEnd w:id="153"/>
            <w:r>
              <w:rPr>
                <w:sz w:val="24"/>
              </w:rPr>
              <w:t>а) районах, входящих в Центральный административный округ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54" w:name="P00150070"/>
            <w:bookmarkStart w:id="155" w:name="P00150070"/>
            <w:bookmarkEnd w:id="155"/>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56" w:name="P00150071"/>
            <w:bookmarkEnd w:id="156"/>
            <w:r>
              <w:rPr>
                <w:sz w:val="24"/>
              </w:rPr>
              <w:t>1143 рубля за каждый кв. метр площади торгового зала, не превышающей 50 кв. метров, 63 рубля за каждый кв. метр площади торгового зала свыше 50 кв. метров до 150 кв. метров (включительно), 74 рубля за каждый кв. метр площади торгового зала свыше 150 кв. метров до 300 кв. метров (включительно) и 79 рублей за каждый полный (неполный) кв. метр площади торгового зала свыше 300 кв. метров</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57" w:name="P00150072"/>
            <w:bookmarkStart w:id="158" w:name="P00150072"/>
            <w:bookmarkEnd w:id="158"/>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59" w:name="P00150073"/>
            <w:bookmarkEnd w:id="159"/>
            <w:r>
              <w:rPr>
                <w:sz w:val="24"/>
              </w:rPr>
              <w:t>б) районах, входящих в Зеленоградский, Троицкий и Новомосковский административные округа города Москвы, а также в районах Молжаниновский Северного административного округа города Москвы, Северный Северо-Восточного административного округа города Москвы, Восточный, Новокосино и Косино-Ухтомский Восточного административного округа города Москвы, Некрасовка Юго-Восточного административного округа города Москвы, Северное Бутово и Южное Бутово Юго-Западного административного округа города Москвы, Солнцево и Ново-Переделкино Западного административного округа города Москвы, Митино и Куркино Северо-Западного административного округа города Москвы;</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60" w:name="P00150074"/>
            <w:bookmarkStart w:id="161" w:name="P00150074"/>
            <w:bookmarkEnd w:id="161"/>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62" w:name="P00150075"/>
            <w:bookmarkEnd w:id="162"/>
            <w:r>
              <w:rPr>
                <w:sz w:val="24"/>
              </w:rPr>
              <w:t>400 рублей за каждый кв. метр площади торгового зала, не превышающей 50 кв. метров, 53 рубля за каждый кв. метр площади торгового зала свыше 50 кв. метров до 150 кв. метров (включительно), 63 рубля за каждый кв. метр площади торгового зала свыше 150 кв. метров до 300 кв. метров (включительно) и 79 рублей за каждый полный (неполный) кв. метр площади торгового зала свыше 300 кв. метров</w:t>
            </w:r>
          </w:p>
        </w:tc>
      </w:tr>
      <w:tr>
        <w:trPr/>
        <w:tc>
          <w:tcPr>
            <w:tcW w:w="422"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63" w:name="P00150076"/>
            <w:bookmarkStart w:id="164" w:name="P00150076"/>
            <w:bookmarkEnd w:id="164"/>
          </w:p>
        </w:tc>
        <w:tc>
          <w:tcPr>
            <w:tcW w:w="4440"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left"/>
              <w:rPr>
                <w:sz w:val="24"/>
              </w:rPr>
            </w:pPr>
            <w:bookmarkStart w:id="165" w:name="P00150077"/>
            <w:bookmarkEnd w:id="165"/>
            <w:r>
              <w:rPr>
                <w:sz w:val="24"/>
              </w:rPr>
              <w:t>в) районах, входящих в Северный (за исключением района Молжаниновский), Северо-Восточный (за исключением района Северный), Восточный (за исключением районов Восточный, Новокосино и Косино-Ухтомский), Юго-Восточный (за исключением района Некрасовка), Южный, Юго-Западный (за исключением районов Северное Бутово и Южное Бутово), Западный (за исключением районов Солнцево и Ново-Переделкино), Северо-Западный (за исключением районов Митино и Куркино) административные округа города Москвы     </w:t>
            </w:r>
          </w:p>
        </w:tc>
        <w:tc>
          <w:tcPr>
            <w:tcW w:w="1741" w:type="dxa"/>
            <w:tcBorders>
              <w:top w:val="single" w:sz="6" w:space="0" w:color="000000"/>
              <w:right w:val="single" w:sz="6" w:space="0" w:color="000000"/>
            </w:tcBorders>
            <w:tcMar>
              <w:top w:w="28" w:type="dxa"/>
              <w:right w:w="28" w:type="dxa"/>
            </w:tcMar>
          </w:tcPr>
          <w:p>
            <w:pPr>
              <w:pStyle w:val="TableContents"/>
              <w:bidi w:val="0"/>
              <w:ind w:left="0" w:right="0" w:hanging="0"/>
              <w:jc w:val="left"/>
              <w:rPr>
                <w:sz w:val="4"/>
                <w:szCs w:val="4"/>
              </w:rPr>
            </w:pPr>
            <w:r>
              <w:rPr>
                <w:sz w:val="4"/>
                <w:szCs w:val="4"/>
              </w:rPr>
            </w:r>
            <w:bookmarkStart w:id="166" w:name="P00150078"/>
            <w:bookmarkStart w:id="167" w:name="P00150078"/>
            <w:bookmarkEnd w:id="167"/>
          </w:p>
        </w:tc>
        <w:tc>
          <w:tcPr>
            <w:tcW w:w="3035" w:type="dxa"/>
            <w:tcBorders>
              <w:top w:val="single" w:sz="6" w:space="0" w:color="000000"/>
              <w:right w:val="single" w:sz="6" w:space="0" w:color="000000"/>
            </w:tcBorders>
            <w:tcMar>
              <w:top w:w="28" w:type="dxa"/>
              <w:right w:w="28" w:type="dxa"/>
            </w:tcMar>
          </w:tcPr>
          <w:p>
            <w:pPr>
              <w:pStyle w:val="TableContents"/>
              <w:pBdr/>
              <w:bidi w:val="0"/>
              <w:spacing w:before="0" w:after="0"/>
              <w:ind w:left="0" w:right="0" w:hanging="0"/>
              <w:jc w:val="center"/>
              <w:rPr>
                <w:sz w:val="24"/>
              </w:rPr>
            </w:pPr>
            <w:bookmarkStart w:id="168" w:name="P00150079"/>
            <w:bookmarkEnd w:id="168"/>
            <w:r>
              <w:rPr>
                <w:sz w:val="24"/>
              </w:rPr>
              <w:t>571 рубль за каждый кв. метр площади торгового зала, не превышающей 50 кв. метров, 58 рублей за каждый кв. метр площади торгового зала свыше 50 кв. метров до 150 кв. метров (включительно), 69 рублей за каждый кв. метр площади торгового зала свыше 150 кв. метров до 300 кв. метров (включительно) и 79 рублей за каждый полный (неполный) кв. метр площади торгового зала свыше 300 кв. метров</w:t>
            </w:r>
          </w:p>
        </w:tc>
      </w:tr>
      <w:tr>
        <w:trPr/>
        <w:tc>
          <w:tcPr>
            <w:tcW w:w="9638" w:type="dxa"/>
            <w:gridSpan w:val="4"/>
            <w:tcBorders>
              <w:bottom w:val="single" w:sz="6" w:space="0" w:color="000000"/>
              <w:right w:val="single" w:sz="6" w:space="0" w:color="000000"/>
            </w:tcBorders>
            <w:tcMar>
              <w:bottom w:w="28" w:type="dxa"/>
              <w:right w:w="28" w:type="dxa"/>
            </w:tcMar>
          </w:tcPr>
          <w:p>
            <w:pPr>
              <w:pStyle w:val="TableContents"/>
              <w:pBdr/>
              <w:bidi w:val="0"/>
              <w:spacing w:before="0" w:after="0"/>
              <w:ind w:left="0" w:right="0" w:hanging="0"/>
              <w:jc w:val="left"/>
              <w:rPr>
                <w:sz w:val="24"/>
              </w:rPr>
            </w:pPr>
            <w:r>
              <w:rPr/>
            </w:r>
          </w:p>
        </w:tc>
      </w:tr>
      <w:tr>
        <w:trPr/>
        <w:tc>
          <w:tcPr>
            <w:tcW w:w="422"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169" w:name="P0015007B"/>
            <w:bookmarkEnd w:id="169"/>
            <w:r>
              <w:rPr>
                <w:sz w:val="24"/>
              </w:rPr>
              <w:t>4.</w:t>
            </w:r>
          </w:p>
        </w:tc>
        <w:tc>
          <w:tcPr>
            <w:tcW w:w="4440"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170" w:name="P0015007C"/>
            <w:bookmarkEnd w:id="170"/>
            <w:r>
              <w:rPr>
                <w:sz w:val="24"/>
              </w:rPr>
              <w:t>Организация розничных рынков</w:t>
            </w:r>
          </w:p>
        </w:tc>
        <w:tc>
          <w:tcPr>
            <w:tcW w:w="1741"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left"/>
              <w:rPr>
                <w:sz w:val="24"/>
              </w:rPr>
            </w:pPr>
            <w:bookmarkStart w:id="171" w:name="P0015007D"/>
            <w:bookmarkEnd w:id="171"/>
            <w:r>
              <w:rPr>
                <w:sz w:val="24"/>
              </w:rPr>
              <w:t>1 кв. метр площади розничного рынка</w:t>
            </w:r>
          </w:p>
        </w:tc>
        <w:tc>
          <w:tcPr>
            <w:tcW w:w="3035" w:type="dxa"/>
            <w:tcBorders>
              <w:top w:val="single" w:sz="6" w:space="0" w:color="000000"/>
              <w:left w:val="single" w:sz="6" w:space="0" w:color="000000"/>
              <w:bottom w:val="single" w:sz="6" w:space="0" w:color="000000"/>
              <w:right w:val="single" w:sz="6" w:space="0" w:color="000000"/>
            </w:tcBorders>
            <w:tcMar>
              <w:top w:w="28" w:type="dxa"/>
              <w:left w:w="28" w:type="dxa"/>
              <w:bottom w:w="28" w:type="dxa"/>
              <w:right w:w="28" w:type="dxa"/>
            </w:tcMar>
          </w:tcPr>
          <w:p>
            <w:pPr>
              <w:pStyle w:val="TableContents"/>
              <w:pBdr/>
              <w:bidi w:val="0"/>
              <w:spacing w:before="0" w:after="0"/>
              <w:ind w:left="0" w:right="0" w:hanging="0"/>
              <w:jc w:val="center"/>
              <w:rPr>
                <w:sz w:val="24"/>
              </w:rPr>
            </w:pPr>
            <w:bookmarkStart w:id="172" w:name="P0015007E"/>
            <w:bookmarkEnd w:id="172"/>
            <w:r>
              <w:rPr>
                <w:sz w:val="24"/>
              </w:rPr>
              <w:t>50</w:t>
            </w:r>
          </w:p>
        </w:tc>
      </w:tr>
    </w:tbl>
    <w:p>
      <w:pPr>
        <w:pStyle w:val="TextBody"/>
        <w:bidi w:val="0"/>
        <w:spacing w:lineRule="auto" w:line="276" w:before="0" w:after="140"/>
        <w:jc w:val="left"/>
        <w:rPr/>
      </w:pPr>
      <w:r>
        <w:rPr/>
      </w:r>
    </w:p>
    <w:p>
      <w:pPr>
        <w:sectPr>
          <w:type w:val="continuous"/>
          <w:pgSz w:w="11906" w:h="16838"/>
          <w:pgMar w:left="1134" w:right="1134" w:gutter="0" w:header="0" w:top="1134" w:footer="0" w:bottom="1134"/>
          <w:formProt w:val="false"/>
          <w:textDirection w:val="lrTb"/>
        </w:sectPr>
      </w:pPr>
    </w:p>
    <w:p>
      <w:pPr>
        <w:pStyle w:val="TextBody"/>
        <w:widowControl/>
        <w:pBdr/>
        <w:shd w:fill="FFFFFF" w:val="clear"/>
        <w:bidi w:val="0"/>
        <w:spacing w:before="0" w:after="0"/>
        <w:ind w:left="0" w:right="0" w:hanging="0"/>
        <w:jc w:val="left"/>
        <w:rPr>
          <w:rFonts w:ascii="Arial;sans-serif" w:hAnsi="Arial;sans-serif"/>
          <w:b w:val="false"/>
          <w:i w:val="false"/>
          <w:caps w:val="false"/>
          <w:smallCaps w:val="false"/>
          <w:color w:val="444444"/>
          <w:spacing w:val="0"/>
          <w:sz w:val="24"/>
        </w:rPr>
      </w:pPr>
      <w:r>
        <w:rPr>
          <w:rFonts w:ascii="Arial;sans-serif" w:hAnsi="Arial;sans-serif"/>
          <w:b w:val="false"/>
          <w:i w:val="false"/>
          <w:caps w:val="false"/>
          <w:smallCaps w:val="false"/>
          <w:color w:val="444444"/>
          <w:spacing w:val="0"/>
          <w:sz w:val="24"/>
        </w:rPr>
      </w:r>
    </w:p>
    <w:p>
      <w:pPr>
        <w:pStyle w:val="Normal"/>
        <w:bidi w:val="0"/>
        <w:jc w:val="left"/>
        <w:rPr/>
      </w:pPr>
      <w:r>
        <w:rPr/>
      </w:r>
    </w:p>
    <w:sectPr>
      <w:type w:val="continuous"/>
      <w:pgSz w:w="11906" w:h="16838"/>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Arial">
    <w:altName w:val="sans-serif"/>
    <w:charset w:val="00"/>
    <w:family w:val="auto"/>
    <w:pitch w:val="default"/>
  </w:font>
</w:fonts>
</file>

<file path=word/settings.xml><?xml version="1.0" encoding="utf-8"?>
<w:settings xmlns:w="http://schemas.openxmlformats.org/wordprocessingml/2006/main">
  <w:zoom w:percent="13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ru-RU"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Arial"/>
      <w:color w:val="auto"/>
      <w:kern w:val="2"/>
      <w:sz w:val="24"/>
      <w:szCs w:val="24"/>
      <w:lang w:val="ru-RU" w:eastAsia="zh-CN" w:bidi="hi-IN"/>
    </w:rPr>
  </w:style>
  <w:style w:type="paragraph" w:styleId="Heading2">
    <w:name w:val="Heading 2"/>
    <w:basedOn w:val="Heading"/>
    <w:next w:val="TextBody"/>
    <w:qFormat/>
    <w:pPr>
      <w:spacing w:before="200" w:after="120"/>
      <w:outlineLvl w:val="1"/>
    </w:pPr>
    <w:rPr>
      <w:rFonts w:ascii="Liberation Serif" w:hAnsi="Liberation Serif" w:eastAsia="NSimSun" w:cs="Arial"/>
      <w:b/>
      <w:bCs/>
      <w:sz w:val="36"/>
      <w:szCs w:val="36"/>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lang w:val="zxx" w:eastAsia="zxx" w:bidi="zxx"/>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LibreOffice/7.3.4.2$Windows_X86_64 LibreOffice_project/728fec16bd5f605073805c3c9e7c4212a0120dc5</Application>
  <AppVersion>15.0000</AppVersion>
  <Pages>6</Pages>
  <Words>1472</Words>
  <Characters>9977</Characters>
  <CharactersWithSpaces>11389</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2026-07-04T15:40:34Z</dcterms:created>
  <dc:creator/>
  <dc:description/>
  <dc:language>ru-RU</dc:language>
  <cp:lastModifiedBy/>
  <dcterms:modified xsi:type="dcterms:W3CDTF">2026-07-04T15:53:08Z</dcterms:modified>
  <cp:revision>1</cp:revision>
  <dc:subject/>
  <dc:title/>
</cp:coreProperties>
</file>